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jc w:val="center"/>
      </w:pPr>
      <w:r>
        <w:rPr>
          <w:b/>
          <w:sz w:val="44"/>
        </w:rPr>
        <w:t>Q2PRO-X 1.3</w:t>
      </w:r>
    </w:p>
    <w:p>
      <w:pPr>
        <w:jc w:val="center"/>
      </w:pPr>
      <w:r/>
    </w:p>
    <w:p>
      <w:pPr>
        <w:jc w:val="center"/>
      </w:pPr>
      <w:r>
        <w:rPr>
          <w:b/>
          <w:i w:val="0"/>
          <w:sz w:val="40"/>
        </w:rPr>
        <w:t>Q2PRO-X 1.3: interface, menu, and console</w:t>
      </w:r>
    </w:p>
    <w:p>
      <w:pPr>
        <w:jc w:val="center"/>
      </w:pPr>
      <w:r>
        <w:rPr>
          <w:b w:val="0"/>
          <w:i/>
          <w:sz w:val="24"/>
        </w:rPr>
        <w:t>Menu modes, modern chrome, scaling, opacity, and settings persistence</w:t>
      </w:r>
    </w:p>
    <w:p>
      <w:pPr>
        <w:jc w:val="center"/>
      </w:pPr>
      <w:r>
        <w:rPr>
          <w:b w:val="0"/>
          <w:i w:val="0"/>
          <w:sz w:val="20"/>
        </w:rPr>
        <w:t>English edition</w:t>
      </w:r>
    </w:p>
    <w:p>
      <w:pPr>
        <w:jc w:val="center"/>
      </w:pPr>
      <w:r>
        <w:rPr>
          <w:b w:val="0"/>
          <w:i w:val="0"/>
          <w:sz w:val="20"/>
        </w:rPr>
        <w:t>May 17, 2026</w:t>
      </w:r>
    </w:p>
    <w:p>
      <w:pPr>
        <w:jc w:val="center"/>
      </w:pPr>
      <w:r>
        <w:rPr>
          <w:b w:val="0"/>
          <w:i w:val="0"/>
          <w:sz w:val="20"/>
        </w:rPr>
        <w:t>q2pro-x.com</w:t>
      </w:r>
    </w:p>
    <w:p/>
    <w:p>
      <w:pPr>
        <w:pStyle w:val="Heading1"/>
      </w:pPr>
      <w:r>
        <w:t>Contents</w:t>
      </w:r>
    </w:p>
    <w:p>
      <w:pPr>
        <w:pStyle w:val="ListBullet"/>
      </w:pPr>
      <w:r>
        <w:t>1. Where to find the settings</w:t>
      </w:r>
    </w:p>
    <w:p>
      <w:pPr>
        <w:pStyle w:val="ListBullet"/>
      </w:pPr>
      <w:r>
        <w:t>2. Two menu modes</w:t>
      </w:r>
    </w:p>
    <w:p>
      <w:pPr>
        <w:pStyle w:val="ListBullet"/>
      </w:pPr>
      <w:r>
        <w:t>3. Modern menu visual style</w:t>
      </w:r>
    </w:p>
    <w:p>
      <w:pPr>
        <w:pStyle w:val="ListBullet"/>
      </w:pPr>
      <w:r>
        <w:t>4. Display language and fonts</w:t>
      </w:r>
    </w:p>
    <w:p>
      <w:pPr>
        <w:pStyle w:val="ListBullet"/>
      </w:pPr>
      <w:r>
        <w:t>5. Size and scale</w:t>
      </w:r>
    </w:p>
    <w:p>
      <w:pPr>
        <w:pStyle w:val="ListBullet"/>
      </w:pPr>
      <w:r>
        <w:t>6. Menu, console, and overlay opacity</w:t>
      </w:r>
    </w:p>
    <w:p>
      <w:pPr>
        <w:pStyle w:val="ListBullet"/>
      </w:pPr>
      <w:r>
        <w:t>7. Saving, defaults, and config scopes</w:t>
      </w:r>
    </w:p>
    <w:p>
      <w:pPr>
        <w:pStyle w:val="ListBullet"/>
      </w:pPr>
      <w:r>
        <w:t>8. Quick recipes</w:t>
      </w:r>
    </w:p>
    <w:p>
      <w:pPr>
        <w:pStyle w:val="ListBullet"/>
      </w:pPr>
      <w:r>
        <w:t>9. Troubleshooting</w:t>
      </w:r>
    </w:p>
    <w:p>
      <w:pPr>
        <w:pStyle w:val="Heading1"/>
      </w:pPr>
      <w:r>
        <w:t>Q2PRO-X 1.3: interface, menu, and console</w:t>
      </w:r>
    </w:p>
    <w:p>
      <w:r>
        <w:t>Version 1.3 note: the main body of this guide preserves the proven 1.2 baseline; new 1.3 features and changes are described in the "1.3 addendum" section below. This guide covers the interface layer that does not belong strictly to video, sound, demos, or network play: menu modes, the modern renderer, display language, fonts, scaling, opacity, and config saving.</w:t>
      </w:r>
    </w:p>
    <w:p>
      <w:pPr>
        <w:pStyle w:val="Heading2"/>
      </w:pPr>
      <w:r>
        <w:t>1. Where to find the settings</w:t>
      </w:r>
    </w:p>
    <w:p>
      <w:pPr>
        <w:pStyle w:val="ListBullet"/>
      </w:pPr>
      <w:r>
        <w:t>Guided menu: Options -&gt; Interface Setup and Options -&gt; Config.</w:t>
      </w:r>
    </w:p>
    <w:p>
      <w:pPr>
        <w:pStyle w:val="ListBullet"/>
      </w:pPr>
      <w:r>
        <w:t>Classic Q2PRO-X menu: Q2PRO-X -&gt; config, interface size, interface alpha, crosshair.</w:t>
      </w:r>
    </w:p>
    <w:p>
      <w:pPr>
        <w:pStyle w:val="ListBullet"/>
      </w:pPr>
      <w:r>
        <w:t>Browsers have their own setup windows: Server Browser, Cvar Browser, Demo Browser, Demo Player, Mod Help.</w:t>
      </w:r>
    </w:p>
    <w:p>
      <w:pPr>
        <w:pStyle w:val="ListBullet"/>
      </w:pPr>
      <w:r>
        <w:t>Every variable is searchable in the Cvar Browser. Try menu, console, alpha, scale, browser, q2prox_cfg, or the exact cvar name.</w:t>
      </w:r>
    </w:p>
    <w:p>
      <w:pPr>
        <w:pStyle w:val="Heading2"/>
      </w:pPr>
      <w:r>
        <w:t>2. Two menu modes</w:t>
      </w:r>
    </w:p>
    <w:p>
      <w:r>
        <w:t>Q2PRO-X 1.3 can run two menu content modes. This is not just a theme: the mode decides which menu graph is loaded when the client initializes.</w:t>
      </w:r>
    </w:p>
    <w:tbl>
      <w:tblPr>
        <w:tblStyle w:val="TableGrid"/>
        <w:tblW w:type="auto" w:w="0"/>
        <w:jc w:val="center"/>
        <w:tblLook w:firstColumn="1" w:firstRow="1" w:lastColumn="0" w:lastRow="0" w:noHBand="0" w:noVBand="1" w:val="04A0"/>
      </w:tblPr>
      <w:tblGrid>
        <w:gridCol w:w="5040"/>
        <w:gridCol w:w="5040"/>
      </w:tblGrid>
      <w:tr>
        <w:tc>
          <w:tcPr>
            <w:tcW w:type="dxa" w:w="5040"/>
            <w:vAlign w:val="center"/>
          </w:tcPr>
          <w:p>
            <w:r>
              <w:rPr>
                <w:b/>
              </w:rPr>
              <w:t>Setting / command</w:t>
            </w:r>
          </w:p>
        </w:tc>
        <w:tc>
          <w:tcPr>
            <w:tcW w:type="dxa" w:w="5040"/>
            <w:vAlign w:val="center"/>
          </w:tcPr>
          <w:p>
            <w:r>
              <w:rPr>
                <w:b/>
              </w:rPr>
              <w:t>Meaning</w:t>
            </w:r>
          </w:p>
        </w:tc>
      </w:tr>
      <w:tr>
        <w:tc>
          <w:tcPr>
            <w:tcW w:type="dxa" w:w="5040"/>
          </w:tcPr>
          <w:p>
            <w:r>
              <w:t>cl_q2prox_menu_mode 1</w:t>
            </w:r>
          </w:p>
        </w:tc>
        <w:tc>
          <w:tcPr>
            <w:tcW w:type="dxa" w:w="5040"/>
          </w:tcPr>
          <w:p>
            <w:r>
              <w:t>Guided / standalone menu. Recommended for clean 1.2 installs: task-oriented sections and less legacy Q2 menu mixing.</w:t>
            </w:r>
          </w:p>
        </w:tc>
      </w:tr>
      <w:tr>
        <w:tc>
          <w:tcPr>
            <w:tcW w:type="dxa" w:w="5040"/>
          </w:tcPr>
          <w:p>
            <w:r>
              <w:t>cl_q2prox_menu_mode 0</w:t>
            </w:r>
          </w:p>
        </w:tc>
        <w:tc>
          <w:tcPr>
            <w:tcW w:type="dxa" w:w="5040"/>
          </w:tcPr>
          <w:p>
            <w:r>
              <w:t>Classic / additive mode. Keeps the older Q2PRO-X layer on top of the classic menu. Useful if you prefer the previous navigation.</w:t>
            </w:r>
          </w:p>
        </w:tc>
      </w:tr>
      <w:tr>
        <w:tc>
          <w:tcPr>
            <w:tcW w:type="dxa" w:w="5040"/>
          </w:tcPr>
          <w:p>
            <w:r>
              <w:t>-q2proxmenu2</w:t>
            </w:r>
          </w:p>
        </w:tc>
        <w:tc>
          <w:tcPr>
            <w:tcW w:type="dxa" w:w="5040"/>
          </w:tcPr>
          <w:p>
            <w:r>
              <w:t>One-run launch flag that forces guided mode for the current launch.</w:t>
            </w:r>
          </w:p>
        </w:tc>
      </w:tr>
    </w:tbl>
    <w:p/>
    <w:p>
      <w:r>
        <w:t>Changing cl_q2prox_menu_mode requires a restart because the menu script is chosen during UI initialization. The 1.2 config migration applies guided mode only once for old configs without the version marker; user choices after that are preserved.</w:t>
      </w:r>
    </w:p>
    <w:p>
      <w:pPr>
        <w:pStyle w:val="Heading2"/>
      </w:pPr>
      <w:r>
        <w:t>3. Modern menu visual style</w:t>
      </w:r>
    </w:p>
    <w:tbl>
      <w:tblPr>
        <w:tblStyle w:val="TableGrid"/>
        <w:tblW w:type="auto" w:w="0"/>
        <w:jc w:val="center"/>
        <w:tblLook w:firstColumn="1" w:firstRow="1" w:lastColumn="0" w:lastRow="0" w:noHBand="0" w:noVBand="1" w:val="04A0"/>
      </w:tblPr>
      <w:tblGrid>
        <w:gridCol w:w="5040"/>
        <w:gridCol w:w="5040"/>
      </w:tblGrid>
      <w:tr>
        <w:tc>
          <w:tcPr>
            <w:tcW w:type="dxa" w:w="5040"/>
            <w:vAlign w:val="center"/>
          </w:tcPr>
          <w:p>
            <w:r>
              <w:rPr>
                <w:b/>
              </w:rPr>
              <w:t>Setting / command</w:t>
            </w:r>
          </w:p>
        </w:tc>
        <w:tc>
          <w:tcPr>
            <w:tcW w:type="dxa" w:w="5040"/>
            <w:vAlign w:val="center"/>
          </w:tcPr>
          <w:p>
            <w:r>
              <w:rPr>
                <w:b/>
              </w:rPr>
              <w:t>Meaning</w:t>
            </w:r>
          </w:p>
        </w:tc>
      </w:tr>
      <w:tr>
        <w:tc>
          <w:tcPr>
            <w:tcW w:type="dxa" w:w="5040"/>
          </w:tcPr>
          <w:p>
            <w:r>
              <w:t>cl_menu_visual_style 1</w:t>
            </w:r>
          </w:p>
        </w:tc>
        <w:tc>
          <w:tcPr>
            <w:tcW w:type="dxa" w:w="5040"/>
          </w:tcPr>
          <w:p>
            <w:r>
              <w:t>Modern renderer: dark translucent panel, focus accent rail, modern sliders, soft shadows, and the Q2PRO-X wordmark.</w:t>
            </w:r>
          </w:p>
        </w:tc>
      </w:tr>
      <w:tr>
        <w:tc>
          <w:tcPr>
            <w:tcW w:type="dxa" w:w="5040"/>
          </w:tcPr>
          <w:p>
            <w:r>
              <w:t>cl_menu_visual_style 0</w:t>
            </w:r>
          </w:p>
        </w:tc>
        <w:tc>
          <w:tcPr>
            <w:tcW w:type="dxa" w:w="5040"/>
          </w:tcPr>
          <w:p>
            <w:r>
              <w:t>Legacy renderer: old text-and-bitmap drawing, behavior-compatible with classic Q2/Q2PRO.</w:t>
            </w:r>
          </w:p>
        </w:tc>
      </w:tr>
      <w:tr>
        <w:tc>
          <w:tcPr>
            <w:tcW w:type="dxa" w:w="5040"/>
          </w:tcPr>
          <w:p>
            <w:r>
              <w:t>cl_menu_modern_autoscale 1</w:t>
            </w:r>
          </w:p>
        </w:tc>
        <w:tc>
          <w:tcPr>
            <w:tcW w:type="dxa" w:w="5040"/>
          </w:tcPr>
          <w:p>
            <w:r>
              <w:t>Responsive modern-menu scaling when ui_scale is 0. Helps on small resolutions and 4K displays.</w:t>
            </w:r>
          </w:p>
        </w:tc>
      </w:tr>
      <w:tr>
        <w:tc>
          <w:tcPr>
            <w:tcW w:type="dxa" w:w="5040"/>
          </w:tcPr>
          <w:p>
            <w:r>
              <w:t>ui_scale</w:t>
            </w:r>
          </w:p>
        </w:tc>
        <w:tc>
          <w:tcPr>
            <w:tcW w:type="dxa" w:w="5040"/>
          </w:tcPr>
          <w:p>
            <w:r>
              <w:t>Manual UI scale. 0 means auto; explicit values always beat modern autoscale.</w:t>
            </w:r>
          </w:p>
        </w:tc>
      </w:tr>
    </w:tbl>
    <w:p/>
    <w:p>
      <w:r>
        <w:t>cl_menu_visual_style switches live and does not change cl_q2prox_menu_mode. That lets you keep guided content while temporarily comparing the legacy renderer.</w:t>
      </w:r>
    </w:p>
    <w:p>
      <w:pPr>
        <w:pStyle w:val="Heading2"/>
      </w:pPr>
      <w:r>
        <w:t>4. Display language and fonts</w:t>
      </w:r>
    </w:p>
    <w:tbl>
      <w:tblPr>
        <w:tblStyle w:val="TableGrid"/>
        <w:tblW w:type="auto" w:w="0"/>
        <w:jc w:val="center"/>
        <w:tblLook w:firstColumn="1" w:firstRow="1" w:lastColumn="0" w:lastRow="0" w:noHBand="0" w:noVBand="1" w:val="04A0"/>
      </w:tblPr>
      <w:tblGrid>
        <w:gridCol w:w="5040"/>
        <w:gridCol w:w="5040"/>
      </w:tblGrid>
      <w:tr>
        <w:tc>
          <w:tcPr>
            <w:tcW w:type="dxa" w:w="5040"/>
            <w:vAlign w:val="center"/>
          </w:tcPr>
          <w:p>
            <w:r>
              <w:rPr>
                <w:b/>
              </w:rPr>
              <w:t>Setting / command</w:t>
            </w:r>
          </w:p>
        </w:tc>
        <w:tc>
          <w:tcPr>
            <w:tcW w:type="dxa" w:w="5040"/>
            <w:vAlign w:val="center"/>
          </w:tcPr>
          <w:p>
            <w:r>
              <w:rPr>
                <w:b/>
              </w:rPr>
              <w:t>Meaning</w:t>
            </w:r>
          </w:p>
        </w:tc>
      </w:tr>
      <w:tr>
        <w:tc>
          <w:tcPr>
            <w:tcW w:type="dxa" w:w="5040"/>
          </w:tcPr>
          <w:p>
            <w:r>
              <w:t>cl_console_utf8_ru</w:t>
            </w:r>
          </w:p>
        </w:tc>
        <w:tc>
          <w:tcPr>
            <w:tcW w:type="dxa" w:w="5040"/>
          </w:tcPr>
          <w:p>
            <w:r>
              <w:t>Global Russian display localization for console messages, menu hints, and parts of overlay UI. It does not enable Russian input and does not change command parsing.</w:t>
            </w:r>
          </w:p>
        </w:tc>
      </w:tr>
      <w:tr>
        <w:tc>
          <w:tcPr>
            <w:tcW w:type="dxa" w:w="5040"/>
          </w:tcPr>
          <w:p>
            <w:r>
              <w:t>cl_menu_utf8_ru</w:t>
            </w:r>
          </w:p>
        </w:tc>
        <w:tc>
          <w:tcPr>
            <w:tcW w:type="dxa" w:w="5040"/>
          </w:tcPr>
          <w:p>
            <w:r>
              <w:t>Menu-only language override: inherit / English / Russian. Live switch.</w:t>
            </w:r>
          </w:p>
        </w:tc>
      </w:tr>
      <w:tr>
        <w:tc>
          <w:tcPr>
            <w:tcW w:type="dxa" w:w="5040"/>
          </w:tcPr>
          <w:p>
            <w:r>
              <w:t>cl_menu_font_mode</w:t>
            </w:r>
          </w:p>
        </w:tc>
        <w:tc>
          <w:tcPr>
            <w:tcW w:type="dxa" w:w="5040"/>
          </w:tcPr>
          <w:p>
            <w:r>
              <w:t>Game menu font: legacy or Jost Medieval. Menu only.</w:t>
            </w:r>
          </w:p>
        </w:tc>
      </w:tr>
      <w:tr>
        <w:tc>
          <w:tcPr>
            <w:tcW w:type="dxa" w:w="5040"/>
          </w:tcPr>
          <w:p>
            <w:r>
              <w:t>cl_console_font_mode</w:t>
            </w:r>
          </w:p>
        </w:tc>
        <w:tc>
          <w:tcPr>
            <w:tcW w:type="dxa" w:w="5040"/>
          </w:tcPr>
          <w:p>
            <w:r>
              <w:t>Console font: legacy conchars or San Francisco UI Text atlas.</w:t>
            </w:r>
          </w:p>
        </w:tc>
      </w:tr>
      <w:tr>
        <w:tc>
          <w:tcPr>
            <w:tcW w:type="dxa" w:w="5040"/>
          </w:tcPr>
          <w:p>
            <w:r>
              <w:t>cl_browser_font_mode</w:t>
            </w:r>
          </w:p>
        </w:tc>
        <w:tc>
          <w:tcPr>
            <w:tcW w:type="dxa" w:w="5040"/>
          </w:tcPr>
          <w:p>
            <w:r>
              <w:t>Server/cvar/demo browser, demo player chrome, and modhelp UI font.</w:t>
            </w:r>
          </w:p>
        </w:tc>
      </w:tr>
      <w:tr>
        <w:tc>
          <w:tcPr>
            <w:tcW w:type="dxa" w:w="5040"/>
          </w:tcPr>
          <w:p>
            <w:r>
              <w:t>cl_hud_font_mode</w:t>
            </w:r>
          </w:p>
        </w:tc>
        <w:tc>
          <w:tcPr>
            <w:tcW w:type="dxa" w:w="5040"/>
          </w:tcPr>
          <w:p>
            <w:r>
              <w:t>Trusted Q2PRO-X HUD/local overlay font.</w:t>
            </w:r>
          </w:p>
        </w:tc>
      </w:tr>
    </w:tbl>
    <w:p/>
    <w:p>
      <w:r>
        <w:t>Keep display language separate from text input. Russian input, transliteration, and /en translation are covered in the Network Play guide because they are chat/network workflows.</w:t>
      </w:r>
    </w:p>
    <w:p>
      <w:pPr>
        <w:pStyle w:val="Heading2"/>
      </w:pPr>
      <w:r>
        <w:t>5. Size and scale</w:t>
      </w:r>
    </w:p>
    <w:tbl>
      <w:tblPr>
        <w:tblStyle w:val="TableGrid"/>
        <w:tblW w:type="auto" w:w="0"/>
        <w:jc w:val="center"/>
        <w:tblLook w:firstColumn="1" w:firstRow="1" w:lastColumn="0" w:lastRow="0" w:noHBand="0" w:noVBand="1" w:val="04A0"/>
      </w:tblPr>
      <w:tblGrid>
        <w:gridCol w:w="5040"/>
        <w:gridCol w:w="5040"/>
      </w:tblGrid>
      <w:tr>
        <w:tc>
          <w:tcPr>
            <w:tcW w:type="dxa" w:w="5040"/>
            <w:vAlign w:val="center"/>
          </w:tcPr>
          <w:p>
            <w:r>
              <w:rPr>
                <w:b/>
              </w:rPr>
              <w:t>Setting / command</w:t>
            </w:r>
          </w:p>
        </w:tc>
        <w:tc>
          <w:tcPr>
            <w:tcW w:type="dxa" w:w="5040"/>
            <w:vAlign w:val="center"/>
          </w:tcPr>
          <w:p>
            <w:r>
              <w:rPr>
                <w:b/>
              </w:rPr>
              <w:t>Meaning</w:t>
            </w:r>
          </w:p>
        </w:tc>
      </w:tr>
      <w:tr>
        <w:tc>
          <w:tcPr>
            <w:tcW w:type="dxa" w:w="5040"/>
          </w:tcPr>
          <w:p>
            <w:r>
              <w:t>viewsize</w:t>
            </w:r>
          </w:p>
        </w:tc>
        <w:tc>
          <w:tcPr>
            <w:tcW w:type="dxa" w:w="5040"/>
          </w:tcPr>
          <w:p>
            <w:r>
              <w:t>Game view area size.</w:t>
            </w:r>
          </w:p>
        </w:tc>
      </w:tr>
      <w:tr>
        <w:tc>
          <w:tcPr>
            <w:tcW w:type="dxa" w:w="5040"/>
          </w:tcPr>
          <w:p>
            <w:r>
              <w:t>scr_scale</w:t>
            </w:r>
          </w:p>
        </w:tc>
        <w:tc>
          <w:tcPr>
            <w:tcW w:type="dxa" w:w="5040"/>
          </w:tcPr>
          <w:p>
            <w:r>
              <w:t>Base scale for part of the 2D HUD/status UI.</w:t>
            </w:r>
          </w:p>
        </w:tc>
      </w:tr>
      <w:tr>
        <w:tc>
          <w:tcPr>
            <w:tcW w:type="dxa" w:w="5040"/>
          </w:tcPr>
          <w:p>
            <w:r>
              <w:t>con_scale</w:t>
            </w:r>
          </w:p>
        </w:tc>
        <w:tc>
          <w:tcPr>
            <w:tcW w:type="dxa" w:w="5040"/>
          </w:tcPr>
          <w:p>
            <w:r>
              <w:t>Console scale.</w:t>
            </w:r>
          </w:p>
        </w:tc>
      </w:tr>
      <w:tr>
        <w:tc>
          <w:tcPr>
            <w:tcW w:type="dxa" w:w="5040"/>
          </w:tcPr>
          <w:p>
            <w:r>
              <w:t>ui_scale</w:t>
            </w:r>
          </w:p>
        </w:tc>
        <w:tc>
          <w:tcPr>
            <w:tcW w:type="dxa" w:w="5040"/>
          </w:tcPr>
          <w:p>
            <w:r>
              <w:t>Game menu scale.</w:t>
            </w:r>
          </w:p>
        </w:tc>
      </w:tr>
      <w:tr>
        <w:tc>
          <w:tcPr>
            <w:tcW w:type="dxa" w:w="5040"/>
          </w:tcPr>
          <w:p>
            <w:r>
              <w:t>scr_lag_draw</w:t>
            </w:r>
          </w:p>
        </w:tc>
        <w:tc>
          <w:tcPr>
            <w:tcW w:type="dxa" w:w="5040"/>
          </w:tcPr>
          <w:p>
            <w:r>
              <w:t>Lag meter visibility.</w:t>
            </w:r>
          </w:p>
        </w:tc>
      </w:tr>
      <w:tr>
        <w:tc>
          <w:tcPr>
            <w:tcW w:type="dxa" w:w="5040"/>
          </w:tcPr>
          <w:p>
            <w:r>
              <w:t>scr_demobar</w:t>
            </w:r>
          </w:p>
        </w:tc>
        <w:tc>
          <w:tcPr>
            <w:tcW w:type="dxa" w:w="5040"/>
          </w:tcPr>
          <w:p>
            <w:r>
              <w:t>Demo bar visibility.</w:t>
            </w:r>
          </w:p>
        </w:tc>
      </w:tr>
    </w:tbl>
    <w:p/>
    <w:p>
      <w:r>
        <w:t>For browsers and new overlays, prefer their own scale cvars instead of increasing scr_scale for the whole client. That makes only the window you need larger.</w:t>
      </w:r>
    </w:p>
    <w:p>
      <w:pPr>
        <w:pStyle w:val="Heading2"/>
      </w:pPr>
      <w:r>
        <w:t>6. Menu, console, and overlay opacity</w:t>
      </w:r>
    </w:p>
    <w:tbl>
      <w:tblPr>
        <w:tblStyle w:val="TableGrid"/>
        <w:tblW w:type="auto" w:w="0"/>
        <w:jc w:val="center"/>
        <w:tblLook w:firstColumn="1" w:firstRow="1" w:lastColumn="0" w:lastRow="0" w:noHBand="0" w:noVBand="1" w:val="04A0"/>
      </w:tblPr>
      <w:tblGrid>
        <w:gridCol w:w="5040"/>
        <w:gridCol w:w="5040"/>
      </w:tblGrid>
      <w:tr>
        <w:tc>
          <w:tcPr>
            <w:tcW w:type="dxa" w:w="5040"/>
            <w:vAlign w:val="center"/>
          </w:tcPr>
          <w:p>
            <w:r>
              <w:rPr>
                <w:b/>
              </w:rPr>
              <w:t>Setting / command</w:t>
            </w:r>
          </w:p>
        </w:tc>
        <w:tc>
          <w:tcPr>
            <w:tcW w:type="dxa" w:w="5040"/>
            <w:vAlign w:val="center"/>
          </w:tcPr>
          <w:p>
            <w:r>
              <w:rPr>
                <w:b/>
              </w:rPr>
              <w:t>Meaning</w:t>
            </w:r>
          </w:p>
        </w:tc>
      </w:tr>
      <w:tr>
        <w:tc>
          <w:tcPr>
            <w:tcW w:type="dxa" w:w="5040"/>
          </w:tcPr>
          <w:p>
            <w:r>
              <w:t>scr_alpha</w:t>
            </w:r>
          </w:p>
        </w:tc>
        <w:tc>
          <w:tcPr>
            <w:tcW w:type="dxa" w:w="5040"/>
          </w:tcPr>
          <w:p>
            <w:r>
              <w:t>General opacity for part of the 2D UI.</w:t>
            </w:r>
          </w:p>
        </w:tc>
      </w:tr>
      <w:tr>
        <w:tc>
          <w:tcPr>
            <w:tcW w:type="dxa" w:w="5040"/>
          </w:tcPr>
          <w:p>
            <w:r>
              <w:t>con_alpha</w:t>
            </w:r>
          </w:p>
        </w:tc>
        <w:tc>
          <w:tcPr>
            <w:tcW w:type="dxa" w:w="5040"/>
          </w:tcPr>
          <w:p>
            <w:r>
              <w:t>Console opacity.</w:t>
            </w:r>
          </w:p>
        </w:tc>
      </w:tr>
      <w:tr>
        <w:tc>
          <w:tcPr>
            <w:tcW w:type="dxa" w:w="5040"/>
          </w:tcPr>
          <w:p>
            <w:r>
              <w:t>cl_menu_alpha</w:t>
            </w:r>
          </w:p>
        </w:tc>
        <w:tc>
          <w:tcPr>
            <w:tcW w:type="dxa" w:w="5040"/>
          </w:tcPr>
          <w:p>
            <w:r>
              <w:t>Menu opacity.</w:t>
            </w:r>
          </w:p>
        </w:tc>
      </w:tr>
      <w:tr>
        <w:tc>
          <w:tcPr>
            <w:tcW w:type="dxa" w:w="5040"/>
          </w:tcPr>
          <w:p>
            <w:r>
              <w:t>cl_serverbrowser_alpha / cl_serverbrowser_scale</w:t>
            </w:r>
          </w:p>
        </w:tc>
        <w:tc>
          <w:tcPr>
            <w:tcW w:type="dxa" w:w="5040"/>
          </w:tcPr>
          <w:p>
            <w:r>
              <w:t>Server browser overlay opacity and scale.</w:t>
            </w:r>
          </w:p>
        </w:tc>
      </w:tr>
      <w:tr>
        <w:tc>
          <w:tcPr>
            <w:tcW w:type="dxa" w:w="5040"/>
          </w:tcPr>
          <w:p>
            <w:r>
              <w:t>cl_cvar_browser_alpha / cl_cvar_browser_scale</w:t>
            </w:r>
          </w:p>
        </w:tc>
        <w:tc>
          <w:tcPr>
            <w:tcW w:type="dxa" w:w="5040"/>
          </w:tcPr>
          <w:p>
            <w:r>
              <w:t>Cvar browser overlay opacity and scale.</w:t>
            </w:r>
          </w:p>
        </w:tc>
      </w:tr>
      <w:tr>
        <w:tc>
          <w:tcPr>
            <w:tcW w:type="dxa" w:w="5040"/>
          </w:tcPr>
          <w:p>
            <w:r>
              <w:t>cl_demo_browser_alpha / cl_demo_browser_scale</w:t>
            </w:r>
          </w:p>
        </w:tc>
        <w:tc>
          <w:tcPr>
            <w:tcW w:type="dxa" w:w="5040"/>
          </w:tcPr>
          <w:p>
            <w:r>
              <w:t>Demo browser overlay opacity and scale.</w:t>
            </w:r>
          </w:p>
        </w:tc>
      </w:tr>
      <w:tr>
        <w:tc>
          <w:tcPr>
            <w:tcW w:type="dxa" w:w="5040"/>
          </w:tcPr>
          <w:p>
            <w:r>
              <w:t>cl_demoplayer_overlay_alpha / cl_demoplayer_overlay_scale</w:t>
            </w:r>
          </w:p>
        </w:tc>
        <w:tc>
          <w:tcPr>
            <w:tcW w:type="dxa" w:w="5040"/>
          </w:tcPr>
          <w:p>
            <w:r>
              <w:t>Demo player overlay opacity and scale.</w:t>
            </w:r>
          </w:p>
        </w:tc>
      </w:tr>
      <w:tr>
        <w:tc>
          <w:tcPr>
            <w:tcW w:type="dxa" w:w="5040"/>
          </w:tcPr>
          <w:p>
            <w:r>
              <w:t>cl_modhelp_alpha / cl_modhelp_scale</w:t>
            </w:r>
          </w:p>
        </w:tc>
        <w:tc>
          <w:tcPr>
            <w:tcW w:type="dxa" w:w="5040"/>
          </w:tcPr>
          <w:p>
            <w:r>
              <w:t>Mod help overlay opacity and scale.</w:t>
            </w:r>
          </w:p>
        </w:tc>
      </w:tr>
    </w:tbl>
    <w:p/>
    <w:p>
      <w:r>
        <w:t>Many overlays are intentionally independent from scr_alpha. You can keep the console translucent while keeping the demo player readable, or tune those in the opposite direction.</w:t>
      </w:r>
    </w:p>
    <w:p>
      <w:pPr>
        <w:pStyle w:val="Heading2"/>
      </w:pPr>
      <w:r>
        <w:t>7. Saving, defaults, and config scopes</w:t>
      </w:r>
    </w:p>
    <w:p>
      <w:r>
        <w:t>In 1.2, Q2PRO-X splits settings into GLOBAL, LOCAL, and demo_visual scopes. This prevents demo visuals or mod-local highlights from accidentally damaging the global profile.</w:t>
      </w:r>
    </w:p>
    <w:tbl>
      <w:tblPr>
        <w:tblStyle w:val="TableGrid"/>
        <w:tblW w:type="auto" w:w="0"/>
        <w:jc w:val="center"/>
        <w:tblLook w:firstColumn="1" w:firstRow="1" w:lastColumn="0" w:lastRow="0" w:noHBand="0" w:noVBand="1" w:val="04A0"/>
      </w:tblPr>
      <w:tblGrid>
        <w:gridCol w:w="5040"/>
        <w:gridCol w:w="5040"/>
      </w:tblGrid>
      <w:tr>
        <w:tc>
          <w:tcPr>
            <w:tcW w:type="dxa" w:w="5040"/>
            <w:vAlign w:val="center"/>
          </w:tcPr>
          <w:p>
            <w:r>
              <w:rPr>
                <w:b/>
              </w:rPr>
              <w:t>Setting / command</w:t>
            </w:r>
          </w:p>
        </w:tc>
        <w:tc>
          <w:tcPr>
            <w:tcW w:type="dxa" w:w="5040"/>
            <w:vAlign w:val="center"/>
          </w:tcPr>
          <w:p>
            <w:r>
              <w:rPr>
                <w:b/>
              </w:rPr>
              <w:t>Meaning</w:t>
            </w:r>
          </w:p>
        </w:tc>
      </w:tr>
      <w:tr>
        <w:tc>
          <w:tcPr>
            <w:tcW w:type="dxa" w:w="5040"/>
          </w:tcPr>
          <w:p>
            <w:r>
              <w:t>baseq2/q2pro-x/q2pro-x.cfg</w:t>
            </w:r>
          </w:p>
        </w:tc>
        <w:tc>
          <w:tcPr>
            <w:tcW w:type="dxa" w:w="5040"/>
          </w:tcPr>
          <w:p>
            <w:r>
              <w:t>GLOBAL settings: menu, UI, voice, translation, and general client options.</w:t>
            </w:r>
          </w:p>
        </w:tc>
      </w:tr>
      <w:tr>
        <w:tc>
          <w:tcPr>
            <w:tcW w:type="dxa" w:w="5040"/>
          </w:tcPr>
          <w:p>
            <w:r>
              <w:t>baseq2/q2pro-x/q2pro-x.local.cfg</w:t>
            </w:r>
          </w:p>
        </w:tc>
        <w:tc>
          <w:tcPr>
            <w:tcW w:type="dxa" w:w="5040"/>
          </w:tcPr>
          <w:p>
            <w:r>
              <w:t>LOCAL settings when fs_game is empty.</w:t>
            </w:r>
          </w:p>
        </w:tc>
      </w:tr>
      <w:tr>
        <w:tc>
          <w:tcPr>
            <w:tcW w:type="dxa" w:w="5040"/>
          </w:tcPr>
          <w:p>
            <w:r>
              <w:t>&lt;gamedir&gt;/q2pro-x/q2pro-x.cfg</w:t>
            </w:r>
          </w:p>
        </w:tc>
        <w:tc>
          <w:tcPr>
            <w:tcW w:type="dxa" w:w="5040"/>
          </w:tcPr>
          <w:p>
            <w:r>
              <w:t>LOCAL settings for the current mod during normal play.</w:t>
            </w:r>
          </w:p>
        </w:tc>
      </w:tr>
      <w:tr>
        <w:tc>
          <w:tcPr>
            <w:tcW w:type="dxa" w:w="5040"/>
          </w:tcPr>
          <w:p>
            <w:r>
              <w:t>baseq2/q2pro-x/demo_visual/q2pro-x.demo.cfg</w:t>
            </w:r>
          </w:p>
        </w:tc>
        <w:tc>
          <w:tcPr>
            <w:tcW w:type="dxa" w:w="5040"/>
          </w:tcPr>
          <w:p>
            <w:r>
              <w:t>Unified visual profile for .dm2/.mvd2 demo playback regardless of the recording mod.</w:t>
            </w:r>
          </w:p>
        </w:tc>
      </w:tr>
      <w:tr>
        <w:tc>
          <w:tcPr>
            <w:tcW w:type="dxa" w:w="5040"/>
          </w:tcPr>
          <w:p>
            <w:r>
              <w:t>cl_q2prox_cfg_autosave</w:t>
            </w:r>
          </w:p>
        </w:tc>
        <w:tc>
          <w:tcPr>
            <w:tcW w:type="dxa" w:w="5040"/>
          </w:tcPr>
          <w:p>
            <w:r>
              <w:t>Autosaves Q2PRO-X cvars after menu/console edits. Default is 1 in 1.2.</w:t>
            </w:r>
          </w:p>
        </w:tc>
      </w:tr>
      <w:tr>
        <w:tc>
          <w:tcPr>
            <w:tcW w:type="dxa" w:w="5040"/>
          </w:tcPr>
          <w:p>
            <w:r>
              <w:t>cl_q2prox_cfg_version</w:t>
            </w:r>
          </w:p>
        </w:tc>
        <w:tc>
          <w:tcPr>
            <w:tcW w:type="dxa" w:w="5040"/>
          </w:tcPr>
          <w:p>
            <w:r>
              <w:t>Config schema marker. If an old config does not know about 1.2, the client applies a one-time allowlisted recommended preset.</w:t>
            </w:r>
          </w:p>
        </w:tc>
      </w:tr>
    </w:tbl>
    <w:p/>
    <w:p>
      <w:pPr>
        <w:pStyle w:val="ListBullet"/>
      </w:pPr>
      <w:r>
        <w:t>q2prox_cfg_save - save global + local settings.</w:t>
      </w:r>
    </w:p>
    <w:p>
      <w:pPr>
        <w:pStyle w:val="ListBullet"/>
      </w:pPr>
      <w:r>
        <w:t>q2prox_cfg_save_global - save only the global target.</w:t>
      </w:r>
    </w:p>
    <w:p>
      <w:pPr>
        <w:pStyle w:val="ListBullet"/>
      </w:pPr>
      <w:r>
        <w:t>q2prox_cfg_save_local - save the mod-local target; during demo playback it writes demo_visual.</w:t>
      </w:r>
    </w:p>
    <w:p>
      <w:pPr>
        <w:pStyle w:val="ListBullet"/>
      </w:pPr>
      <w:r>
        <w:t>q2prox_cfg_save_demo_visual - explicitly save the demo visual profile.</w:t>
      </w:r>
    </w:p>
    <w:p>
      <w:pPr>
        <w:pStyle w:val="ListBullet"/>
      </w:pPr>
      <w:r>
        <w:t>q2prox_cfg_defaults_global / local / demo_visual - reset the matching layer to defaults; binds are preserved separately.</w:t>
      </w:r>
    </w:p>
    <w:p>
      <w:pPr>
        <w:pStyle w:val="Heading2"/>
      </w:pPr>
      <w:r>
        <w:t>8. Quick recipes</w:t>
      </w:r>
    </w:p>
    <w:p>
      <w:pPr>
        <w:pStyle w:val="ListBullet"/>
      </w:pPr>
      <w:r>
        <w:t>I want the new 1.2 UI: cl_q2prox_menu_mode 1, restart, cl_menu_visual_style 1, cl_menu_modern_autoscale 1, ui_scale 0.</w:t>
      </w:r>
    </w:p>
    <w:p>
      <w:pPr>
        <w:pStyle w:val="ListBullet"/>
      </w:pPr>
      <w:r>
        <w:t>I want old navigation with modern visuals: cl_q2prox_menu_mode 0, restart, cl_menu_visual_style 1.</w:t>
      </w:r>
    </w:p>
    <w:p>
      <w:pPr>
        <w:pStyle w:val="ListBullet"/>
      </w:pPr>
      <w:r>
        <w:t>Text is too large: lower browser/demo overlay scale first, then con_scale/ui_scale, and only then scr_scale.</w:t>
      </w:r>
    </w:p>
    <w:p>
      <w:pPr>
        <w:pStyle w:val="ListBullet"/>
      </w:pPr>
      <w:r>
        <w:t>Text is too small on 4K: keep ui_scale 0 and cl_menu_modern_autoscale 1; raise browser-local scale for overlays.</w:t>
      </w:r>
    </w:p>
    <w:p>
      <w:pPr>
        <w:pStyle w:val="ListBullet"/>
      </w:pPr>
      <w:r>
        <w:t>Demos should look identical across mods: adjust visual cvars during demo playback or use q2prox_cfg_save_demo_visual.</w:t>
      </w:r>
    </w:p>
    <w:p>
      <w:pPr>
        <w:pStyle w:val="Heading2"/>
      </w:pPr>
      <w:r>
        <w:t>9. Troubleshooting</w:t>
      </w:r>
    </w:p>
    <w:p>
      <w:pPr>
        <w:pStyle w:val="ListBullet"/>
      </w:pPr>
      <w:r>
        <w:t>The menu did not become guided: cl_q2prox_menu_mode requires restart.</w:t>
      </w:r>
    </w:p>
    <w:p>
      <w:pPr>
        <w:pStyle w:val="ListBullet"/>
      </w:pPr>
      <w:r>
        <w:t>The menu is guided but still looks old: check cl_menu_visual_style.</w:t>
      </w:r>
    </w:p>
    <w:p>
      <w:pPr>
        <w:pStyle w:val="ListBullet"/>
      </w:pPr>
      <w:r>
        <w:t>Russian display is enabled but console input did not change: expected; display localization and input/translation are separate features.</w:t>
      </w:r>
    </w:p>
    <w:p>
      <w:pPr>
        <w:pStyle w:val="ListBullet"/>
      </w:pPr>
      <w:r>
        <w:t>A setting did not persist: check cl_q2prox_cfg_autosave and run the explicit q2prox_cfg_save* command for the target you want.</w:t>
      </w:r>
    </w:p>
    <w:p>
      <w:pPr>
        <w:pStyle w:val="ListBullet"/>
      </w:pPr>
      <w:r>
        <w:t>A browser window is too transparent or too small: change that browser alpha/scale cvar, not global scr_alpha/scr_scale.</w:t>
      </w:r>
    </w:p>
    <w:p>
      <w:r>
        <w:rPr>
          <w:b/>
        </w:rPr>
        <w:t>Project author: ly</w:t>
      </w:r>
    </w:p>
    <w:p>
      <w:r>
        <w:br w:type="page"/>
      </w:r>
    </w:p>
    <w:p>
      <w:pPr>
        <w:pStyle w:val="Heading1"/>
      </w:pPr>
      <w:r>
        <w:t>1.3 addendum</w:t>
      </w:r>
    </w:p>
    <w:p>
      <w:pPr>
        <w:pStyle w:val="Heading2"/>
      </w:pPr>
      <w:r>
        <w:t>1.3 addendum: AVFX, presets, and menu scope</w:t>
      </w:r>
    </w:p>
    <w:p>
      <w:pPr>
        <w:pStyle w:val="ListBullet"/>
      </w:pPr>
      <w:r>
        <w:t>AVFX Presets and Visual Presets were added. AVFX presets control weather and surfaces; Visual Presets combine AVFX with highlights and visual settings.</w:t>
      </w:r>
    </w:p>
    <w:p>
      <w:pPr>
        <w:pStyle w:val="ListBullet"/>
      </w:pPr>
      <w:r>
        <w:t>The AVFX menu is organized into presets, snow, miscellaneous effects, storm and sky, audio, water/puddles, and weapon reactions.</w:t>
      </w:r>
    </w:p>
    <w:p>
      <w:pPr>
        <w:pStyle w:val="ListBullet"/>
      </w:pPr>
      <w:r>
        <w:t>New optional badges: (X) marks Q2PRO-X rows, (G) marks global settings, and (M) marks mod-local settings. Each badge type can be controlled separately.</w:t>
      </w:r>
    </w:p>
    <w:p>
      <w:pPr>
        <w:pStyle w:val="ListBullet"/>
      </w:pPr>
      <w:r>
        <w:t>Quick commands: /avfx, /rain, /snow, /water, /sky, /avfxp, /avfxs, /avfxr, /avfxi open the matching menus/actions.</w:t>
      </w:r>
    </w:p>
    <w:p>
      <w:pPr>
        <w:pStyle w:val="ListBullet"/>
      </w:pPr>
      <w:r>
        <w:t>The cvar browser no longer receives console typing into its search filter after opening the console from a variable row.</w:t>
      </w:r>
    </w:p>
    <w:sectPr w:rsidR="00FC693F" w:rsidRPr="0006063C" w:rsidSect="00034616">
      <w:headerReference w:type="default" r:id="rId9"/>
      <w:footerReference w:type="default" r:id="rId10"/>
      <w:pgSz w:w="12240" w:h="15840"/>
      <w:pgMar w:top="1008" w:right="1080" w:bottom="1008"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Arial" w:hAnsi="Arial"/>
        <w:sz w:val="18"/>
      </w:rPr>
      <w:t xml:space="preserve">Q2PRO-X 1.3 | Page </w:t>
    </w:r>
    <w:r/>
    <w:r/>
    <w:r/>
    <w:r>
      <w:rPr>
        <w:noProof/>
      </w:rPr>
      <w:t>1</w:t>
    </w:r>
    <w: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jc w:val="right"/>
    </w:pPr>
    <w:r>
      <w:rPr>
        <w:rFonts w:ascii="Arial" w:hAnsi="Arial"/>
        <w:sz w:val="18"/>
      </w:rPr>
      <w:t>Q2PRO-X 1.3: interface, menu, and console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rPr>
      <w:rFonts w:ascii="Arial" w:hAnsi="Arial"/>
      <w:color w:val="1C221C"/>
      <w:sz w:val="20"/>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ascii="Arial" w:hAnsi="Arial"/>
      <w:b/>
      <w:bCs/>
      <w:color w:val="45AD40"/>
      <w:sz w:val="34"/>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ascii="Arial" w:hAnsi="Arial"/>
      <w:b/>
      <w:bCs/>
      <w:color w:val="45AD40"/>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ascii="Arial" w:hAnsi="Arial"/>
      <w:b/>
      <w:bCs/>
      <w:color w:val="45AD40"/>
      <w:sz w:val="22"/>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rPr>
      <w:rFonts w:ascii="Arial" w:hAnsi="Arial"/>
      <w:color w:val="1C221C"/>
      <w:sz w:val="20"/>
    </w:r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rPr>
      <w:rFonts w:ascii="Arial" w:hAnsi="Arial"/>
      <w:color w:val="1C221C"/>
      <w:sz w:val="20"/>
    </w:r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Q2PRO-X 1.3 Interface Menu Console Guide</dc:title>
  <dc:subject>Menu modes, modern chrome, scaling, opacity, and settings persistence</dc:subject>
  <dc:creator>ly</dc:creator>
  <cp:keywords>Q2PRO-X, Quake II, 1.2, documentation</cp:keywords>
  <dc:description>generated by python-docx</dc:description>
  <cp:lastModifiedBy>Q2PRO-X release docs generator</cp:lastModifiedBy>
  <cp:revision>1</cp:revision>
  <dcterms:created xsi:type="dcterms:W3CDTF">2013-12-23T23:15:00Z</dcterms:created>
  <dcterms:modified xsi:type="dcterms:W3CDTF">2013-12-23T23:15:00Z</dcterms:modified>
  <cp:category/>
</cp:coreProperties>
</file>